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8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205"/>
      </w:tblGrid>
      <w:tr>
        <w:tc>
          <w:tcPr>
            <w:tcW w:w="840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205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盛乐国际机场海关综合楼小放映室放映设备购置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205" w:type="dxa"/>
            <w:vAlign w:val="center"/>
          </w:tcPr>
          <w:p>
            <w:pPr>
              <w:pStyle w:val="76"/>
              <w:spacing w:line="560" w:lineRule="exact"/>
              <w:ind w:firstLineChars="200" w:firstLine="640"/>
              <w:jc w:val="center"/>
              <w:rPr>
                <w:rFonts w:ascii="方正仿宋_GBK" w:eastAsia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cs="方正仿宋_GBK"/>
                <w:sz w:val="32"/>
                <w:szCs w:val="32"/>
              </w:rPr>
              <w:t>110518元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205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sym w:font="Wingdings 2" w:char="F052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sym w:font="Wingdings 2" w:char="F0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综合评分法（权重：价格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30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%、评审因素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70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%）</w:t>
            </w:r>
          </w:p>
        </w:tc>
      </w:tr>
      <w:tr>
        <w:tc>
          <w:tcPr>
            <w:tcW w:w="840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3390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205" w:type="dxa"/>
            <w:vAlign w:val="center"/>
          </w:tcPr>
          <w:p>
            <w:pPr>
              <w:spacing w:line="400" w:lineRule="exact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cs="Times New Roman"/>
                <w:szCs w:val="22"/>
              </w:rPr>
              <w:t>2.</w:t>
            </w:r>
            <w:r>
              <w:rPr>
                <w:rFonts w:cs="方正仿宋_GBK" w:hint="eastAsia"/>
                <w:szCs w:val="22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6073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205" w:type="dxa"/>
            <w:vAlign w:val="center"/>
          </w:tcPr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1、供应商应符合以下条件：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（1）具有独立承担民事责任的能力</w:t>
            </w:r>
            <w:r>
              <w:rPr>
                <w:rFonts w:cs="Times New Roman"/>
              </w:rPr>
              <w:t>，提供有效的统一社会信用代码营业执照</w:t>
            </w:r>
            <w:r>
              <w:rPr>
                <w:rFonts w:cs="Times New Roman" w:hint="eastAsia"/>
              </w:rPr>
              <w:t>；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（2）具有良好商业信誉和健全的财务会计制度；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（3）具有履行</w:t>
            </w:r>
            <w:r>
              <w:rPr>
                <w:rFonts w:cs="Times New Roman"/>
              </w:rPr>
              <w:t>本</w:t>
            </w:r>
            <w:r>
              <w:rPr>
                <w:rFonts w:cs="Times New Roman" w:hint="eastAsia"/>
              </w:rPr>
              <w:t>合同所必需的设备</w:t>
            </w:r>
            <w:r>
              <w:rPr>
                <w:rFonts w:cs="Times New Roman"/>
              </w:rPr>
              <w:t>、</w:t>
            </w:r>
            <w:r>
              <w:rPr>
                <w:rFonts w:cs="Times New Roman" w:hint="eastAsia"/>
              </w:rPr>
              <w:t>专业技术</w:t>
            </w:r>
            <w:r>
              <w:rPr>
                <w:rFonts w:cs="Times New Roman"/>
              </w:rPr>
              <w:t>及安装实施</w:t>
            </w:r>
            <w:r>
              <w:rPr>
                <w:rFonts w:cs="Times New Roman" w:hint="eastAsia"/>
              </w:rPr>
              <w:t>能力；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（4）有依法缴纳税收和社会保障资金的良好记录；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（5）参加政府采购</w:t>
            </w:r>
            <w:r>
              <w:rPr>
                <w:rFonts w:cs="Times New Roman"/>
              </w:rPr>
              <w:t>活动</w:t>
            </w:r>
            <w:r>
              <w:rPr>
                <w:rFonts w:cs="Times New Roman" w:hint="eastAsia"/>
              </w:rPr>
              <w:t>前三年内，在经营活动中没有重大违法记录；</w:t>
            </w:r>
          </w:p>
          <w:p>
            <w:pPr>
              <w:pStyle w:val="61"/>
              <w:rPr>
                <w:rFonts w:cs="Times New Roman" w:hint="eastAsia"/>
              </w:rPr>
            </w:pPr>
            <w:r>
              <w:rPr>
                <w:rFonts w:cs="Times New Roman" w:hint="eastAsia"/>
              </w:rPr>
              <w:t>（6）法律、行政法规规定的其它条件。</w:t>
            </w:r>
          </w:p>
          <w:p>
            <w:pPr>
              <w:pStyle w:val="61"/>
              <w:rPr>
                <w:rFonts w:cs="Times New Roman"/>
              </w:rPr>
            </w:pPr>
            <w:r>
              <w:rPr>
                <w:rFonts w:cs="Times New Roman" w:hint="eastAsia"/>
              </w:rPr>
              <w:t>2、</w:t>
            </w:r>
            <w:r>
              <w:rPr>
                <w:rFonts w:cs="Times New Roman"/>
              </w:rPr>
              <w:t>本项目其他要求：</w:t>
            </w:r>
          </w:p>
          <w:p>
            <w:pPr>
              <w:pStyle w:val="61"/>
              <w:rPr>
                <w:rFonts w:cs="Times New Roman"/>
                <w:szCs w:val="22"/>
              </w:rPr>
            </w:pPr>
            <w:r>
              <w:rPr>
                <w:rFonts w:cs="Times New Roman"/>
              </w:rPr>
              <w:t>（1）单位负责人为同一人或者存在直接控股、管理关系的不同供应商，不得参加同一合同项下的政府采购活动。除单一来源采购采购项目外，为采购项目提供整体设计、规范编制或者项目管理、监理、检测等服务的供应商，不得再参加该采购项目的其它采购活动。（2）对在</w:t>
            </w:r>
            <w:r>
              <w:rPr>
                <w:rFonts w:cs="Times New Roman" w:hint="eastAsia"/>
              </w:rPr>
              <w:t>“信用中国”网站（www.creditchina.gov.cn）、中国政府采购网（www.ccgp.gov.cn）等渠道被列入失信被执行人、重大税收违法</w:t>
            </w:r>
            <w:r>
              <w:rPr>
                <w:rFonts w:cs="Times New Roman"/>
              </w:rPr>
              <w:t>失信主体、政府采购严重违法失信行为记录名单及其他不符合《中华人民共和国政府采购法》第二十二条规定条件的供应商，不得参与政府采购活动。</w:t>
            </w:r>
          </w:p>
        </w:tc>
      </w:tr>
      <w:tr>
        <w:trPr>
          <w:trHeight w:val="731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205" w:type="dxa"/>
          </w:tcPr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一、项目情况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1.采购内容：具体详见</w:t>
            </w:r>
            <w:r>
              <w:rPr>
                <w:lang w:eastAsia="zh-CN"/>
              </w:rPr>
              <w:t>盛乐国际机场海关综合楼小放映室放映设备购置清单及参数要求</w:t>
            </w:r>
            <w:r>
              <w:rPr>
                <w:rFonts w:hint="eastAsia"/>
                <w:lang w:eastAsia="zh-CN"/>
              </w:rPr>
              <w:t>。总体要求：选用的</w:t>
            </w:r>
            <w:r>
              <w:rPr>
                <w:lang w:eastAsia="zh-CN"/>
              </w:rPr>
              <w:t>设备、材料</w:t>
            </w:r>
            <w:r>
              <w:rPr>
                <w:rFonts w:hint="eastAsia"/>
                <w:lang w:eastAsia="zh-CN"/>
              </w:rPr>
              <w:t>必须为国标产品、符合国家验收标准。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2.报价说明：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2.1本项目</w:t>
            </w:r>
            <w:r>
              <w:rPr>
                <w:lang w:eastAsia="zh-CN"/>
              </w:rPr>
              <w:t>报价上限</w:t>
            </w:r>
            <w:r>
              <w:rPr>
                <w:rFonts w:hint="eastAsia"/>
                <w:lang w:eastAsia="zh-CN"/>
              </w:rPr>
              <w:t>为</w:t>
            </w:r>
            <w:r>
              <w:rPr>
                <w:lang w:eastAsia="zh-CN"/>
              </w:rPr>
              <w:t>110518</w:t>
            </w:r>
            <w:r>
              <w:rPr>
                <w:rFonts w:hint="eastAsia"/>
                <w:lang w:eastAsia="zh-CN"/>
              </w:rPr>
              <w:t>元(大写:</w:t>
            </w:r>
            <w:r>
              <w:rPr>
                <w:lang w:eastAsia="zh-CN"/>
              </w:rPr>
              <w:t>壹拾壹万零伍佰壹拾捌</w:t>
            </w:r>
            <w:r>
              <w:rPr>
                <w:rFonts w:hint="eastAsia"/>
                <w:lang w:eastAsia="zh-CN"/>
              </w:rPr>
              <w:t>元整)，超出</w:t>
            </w:r>
            <w:r>
              <w:rPr>
                <w:lang w:eastAsia="zh-CN"/>
              </w:rPr>
              <w:t>此报</w:t>
            </w:r>
            <w:r>
              <w:rPr>
                <w:rFonts w:hint="eastAsia"/>
                <w:lang w:eastAsia="zh-CN"/>
              </w:rPr>
              <w:t>价视为</w:t>
            </w:r>
            <w:r>
              <w:rPr>
                <w:lang w:eastAsia="zh-CN"/>
              </w:rPr>
              <w:t>响应无效，取消响应资格。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2.2已标价的</w:t>
            </w:r>
            <w:r>
              <w:rPr>
                <w:lang w:eastAsia="zh-CN"/>
              </w:rPr>
              <w:t>购置</w:t>
            </w:r>
            <w:r>
              <w:rPr>
                <w:rFonts w:hint="eastAsia"/>
                <w:lang w:eastAsia="zh-CN"/>
              </w:rPr>
              <w:t>清单作为报价</w:t>
            </w:r>
            <w:r>
              <w:rPr>
                <w:lang w:eastAsia="zh-CN"/>
              </w:rPr>
              <w:t>资料</w:t>
            </w:r>
            <w:r>
              <w:rPr>
                <w:rFonts w:hint="eastAsia"/>
                <w:lang w:eastAsia="zh-CN"/>
              </w:rPr>
              <w:t>的一部分装订</w:t>
            </w:r>
            <w:r>
              <w:rPr>
                <w:lang w:eastAsia="zh-CN"/>
              </w:rPr>
              <w:t>入册</w:t>
            </w:r>
            <w:r>
              <w:rPr>
                <w:rFonts w:hint="eastAsia"/>
                <w:lang w:eastAsia="zh-CN"/>
              </w:rPr>
              <w:t>，如果响应文件中没有已标价</w:t>
            </w:r>
            <w:r>
              <w:rPr>
                <w:lang w:eastAsia="zh-CN"/>
              </w:rPr>
              <w:t>的购置</w:t>
            </w:r>
            <w:r>
              <w:rPr>
                <w:rFonts w:hint="eastAsia"/>
                <w:lang w:eastAsia="zh-CN"/>
              </w:rPr>
              <w:t>清单视为</w:t>
            </w:r>
            <w:r>
              <w:rPr>
                <w:lang w:eastAsia="zh-CN"/>
              </w:rPr>
              <w:t>响应</w:t>
            </w:r>
            <w:r>
              <w:rPr>
                <w:rFonts w:hint="eastAsia"/>
                <w:lang w:eastAsia="zh-CN"/>
              </w:rPr>
              <w:t>无效</w:t>
            </w:r>
            <w:r>
              <w:rPr>
                <w:lang w:eastAsia="zh-CN"/>
              </w:rPr>
              <w:t>，取消响应资格。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二、商务要求：</w:t>
            </w:r>
          </w:p>
          <w:p>
            <w:pPr>
              <w:pStyle w:val="61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1.工期：合同签订后</w:t>
            </w:r>
            <w:r>
              <w:rPr>
                <w:lang w:eastAsia="zh-CN"/>
              </w:rPr>
              <w:t>15</w:t>
            </w:r>
            <w:r>
              <w:rPr>
                <w:rFonts w:hint="eastAsia"/>
                <w:lang w:eastAsia="zh-CN"/>
              </w:rPr>
              <w:t>天内完工；施工地点：</w:t>
            </w:r>
            <w:r>
              <w:rPr>
                <w:lang w:eastAsia="zh-CN"/>
              </w:rPr>
              <w:t>盛乐国际机场海关综合楼。</w:t>
            </w:r>
          </w:p>
          <w:p>
            <w:pPr>
              <w:pStyle w:val="61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2.支付方式：合同</w:t>
            </w:r>
            <w:r>
              <w:rPr>
                <w:lang w:eastAsia="zh-CN"/>
              </w:rPr>
              <w:t>生效，乙方提交合规有效发票后，甲方于3个工作日内支付合同价款的30%作为预付款；乙方完成全部设备供货、安装调试工作，经甲方验收合格并提交完整资料及对应发票后，甲方向乙方一次性支付剩余全部合同价款。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3.质量保证金：</w:t>
            </w:r>
            <w:r>
              <w:rPr>
                <w:lang w:eastAsia="zh-CN"/>
              </w:rPr>
              <w:t>项目</w:t>
            </w:r>
            <w:r>
              <w:rPr>
                <w:rFonts w:hint="eastAsia"/>
                <w:lang w:eastAsia="zh-CN"/>
              </w:rPr>
              <w:t>验收</w:t>
            </w:r>
            <w:r>
              <w:rPr>
                <w:lang w:eastAsia="zh-CN"/>
              </w:rPr>
              <w:t>合格</w:t>
            </w:r>
            <w:r>
              <w:rPr>
                <w:rFonts w:hint="eastAsia"/>
                <w:lang w:eastAsia="zh-CN"/>
              </w:rPr>
              <w:t>后</w:t>
            </w:r>
            <w:r>
              <w:rPr>
                <w:lang w:eastAsia="zh-CN"/>
              </w:rPr>
              <w:t>，乙方</w:t>
            </w:r>
            <w:r>
              <w:rPr>
                <w:rFonts w:hint="eastAsia"/>
                <w:lang w:eastAsia="zh-CN"/>
              </w:rPr>
              <w:t>向</w:t>
            </w:r>
            <w:r>
              <w:rPr>
                <w:lang w:eastAsia="zh-CN"/>
              </w:rPr>
              <w:t>甲方</w:t>
            </w:r>
            <w:r>
              <w:rPr>
                <w:rFonts w:hint="eastAsia"/>
                <w:lang w:eastAsia="zh-CN"/>
              </w:rPr>
              <w:t>支付</w:t>
            </w:r>
            <w:r>
              <w:rPr>
                <w:lang w:eastAsia="zh-CN"/>
              </w:rPr>
              <w:t>合同价款</w:t>
            </w:r>
            <w:r>
              <w:rPr>
                <w:rFonts w:hint="eastAsia"/>
                <w:lang w:eastAsia="zh-CN"/>
              </w:rPr>
              <w:t>的3%作为质量保证金，</w:t>
            </w:r>
            <w:r>
              <w:rPr>
                <w:lang w:eastAsia="zh-CN"/>
              </w:rPr>
              <w:t>乙方将质量保证金缴纳至甲方指定银行账户。</w:t>
            </w:r>
            <w:r>
              <w:rPr>
                <w:rFonts w:hint="eastAsia"/>
                <w:lang w:eastAsia="zh-CN"/>
              </w:rPr>
              <w:t xml:space="preserve">质量保修期满后30日内无息退还。            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4.质量要求：符合国家及行业相关规范和标准，满足设计要求。</w:t>
            </w:r>
          </w:p>
          <w:p>
            <w:pPr>
              <w:pStyle w:val="61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5.安全要求：确保安全文明施工，执行国家现行相关规定</w:t>
            </w:r>
          </w:p>
          <w:p>
            <w:pPr>
              <w:pStyle w:val="61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lang w:eastAsia="zh-CN"/>
              </w:rPr>
              <w:t>6</w:t>
            </w:r>
            <w:r>
              <w:rPr>
                <w:rFonts w:hint="eastAsia"/>
                <w:lang w:eastAsia="zh-CN"/>
              </w:rPr>
              <w:t>.质量保修期：</w:t>
            </w:r>
            <w:r>
              <w:rPr>
                <w:lang w:eastAsia="zh-CN"/>
              </w:rPr>
              <w:t>质保期1年，验收合格</w:t>
            </w:r>
            <w:r>
              <w:rPr>
                <w:rFonts w:hint="eastAsia"/>
                <w:lang w:eastAsia="zh-CN"/>
              </w:rPr>
              <w:t>之日起计算。</w:t>
            </w:r>
            <w:bookmarkStart w:id="0" w:name="_GoBack"/>
            <w:bookmarkEnd w:id="0"/>
          </w:p>
        </w:tc>
      </w:tr>
      <w:tr>
        <w:trPr>
          <w:trHeight w:val="927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205" w:type="dxa"/>
          </w:tcPr>
          <w:p>
            <w:pPr>
              <w:pStyle w:val="68"/>
            </w:pPr>
          </w:p>
          <w:p>
            <w:pPr>
              <w:pStyle w:val="68"/>
            </w:pPr>
          </w:p>
          <w:p>
            <w:pPr>
              <w:pStyle w:val="68"/>
              <w:rPr>
                <w:rFonts w:hint="eastAsia"/>
              </w:rPr>
            </w:pPr>
            <w:r>
              <w:t>评审方法按照最低价法。</w:t>
            </w:r>
          </w:p>
        </w:tc>
      </w:tr>
      <w:tr>
        <w:trPr>
          <w:trHeight w:val="419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205" w:type="dxa"/>
          </w:tcPr>
          <w:p>
            <w:pPr>
              <w:spacing w:line="40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cs="方正仿宋_GBK"/>
              </w:rPr>
            </w:pPr>
            <w:r>
              <w:rPr>
                <w:rFonts w:cs="方正仿宋_GBK"/>
              </w:rPr>
              <w:t>一、公告期限3个工作日。</w:t>
            </w:r>
          </w:p>
          <w:p>
            <w:pPr>
              <w:spacing w:line="400" w:lineRule="exact"/>
              <w:jc w:val="left"/>
              <w:rPr>
                <w:rFonts w:cs="方正仿宋_GBK"/>
              </w:rPr>
            </w:pPr>
            <w:r>
              <w:rPr>
                <w:rFonts w:cs="方正仿宋_GBK"/>
              </w:rPr>
              <w:t>二、响应文件份数：</w:t>
            </w:r>
          </w:p>
          <w:p>
            <w:pPr>
              <w:spacing w:line="400" w:lineRule="exact"/>
              <w:jc w:val="left"/>
              <w:rPr>
                <w:rFonts w:cs="方正仿宋_GBK"/>
              </w:rPr>
            </w:pPr>
            <w:r>
              <w:rPr>
                <w:rFonts w:cs="方正仿宋_GBK"/>
              </w:rPr>
              <w:t>1、响应文件正本1份、副本1份；</w:t>
            </w:r>
          </w:p>
          <w:p>
            <w:pPr>
              <w:spacing w:line="400" w:lineRule="exact"/>
              <w:jc w:val="left"/>
              <w:rPr>
                <w:rFonts w:cs="方正仿宋_GBK"/>
              </w:rPr>
            </w:pPr>
            <w:r>
              <w:rPr>
                <w:rFonts w:cs="方正仿宋_GBK"/>
              </w:rPr>
              <w:t>2、响应文件包含：供应商响应文件表格，资格条件要求的证明资料，投标人授权委托证明，已标价的设备购置清单。失信、征信等资料查询截止时点：2026年8月31日。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cs="方正仿宋_GBK"/>
              </w:rPr>
              <w:t>3、响应文件规定位置按要求加盖单位公章，复印件加盖公章，全套文件密封提交。</w:t>
            </w:r>
          </w:p>
        </w:tc>
      </w:tr>
    </w:tbl>
    <w:p>
      <w:pPr>
        <w:spacing w:line="240" w:lineRule="auto"/>
        <w:rPr>
          <w:rFonts w:ascii="方正仿宋_GBK" w:eastAsia="方正仿宋_GBK" w:cs="方正仿宋_GBK"/>
          <w:sz w:val="32"/>
          <w:szCs w:val="32"/>
        </w:rPr>
      </w:pPr>
    </w:p>
    <w:p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7" w:h="16840"/>
      <w:pgMar w:top="1440" w:right="1797" w:bottom="1134" w:left="1797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Wingdings 2">
    <w:altName w:val="方正宋体S-超大字符集(SIP)"/>
    <w:panose1 w:val="05020102010507070707"/>
    <w:charset w:val="02"/>
    <w:family w:val="roman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57"/>
      </w:rPr>
      <w:fldChar w:fldCharType="begin"/>
    </w:r>
    <w:r>
      <w:rPr>
        <w:rStyle w:val="57"/>
      </w:rPr>
      <w:instrText>Page</w:instrText>
    </w:r>
    <w:r>
      <w:rPr>
        <w:rStyle w:val="57"/>
      </w:rPr>
      <w:fldChar w:fldCharType="separate"/>
    </w:r>
    <w:r>
      <w:rPr>
        <w:rStyle w:val="57"/>
      </w:rPr>
      <w:t>1</w:t>
    </w:r>
    <w:r>
      <w:rPr>
        <w:rStyle w:val="5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styleId="57">
    <w:name w:val="page number"/>
    <w:basedOn w:val="10"/>
  </w:style>
  <w:style w:type="paragraph" w:customStyle="1" w:styleId="58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0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1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6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8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1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2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3">
    <w:name w:val="样式 4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4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5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6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7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1161</TotalTime>
  <Application>Yozo_Office</Application>
  <Pages>2</Pages>
  <Words>1214</Words>
  <Characters>1288</Characters>
  <Lines>74</Lines>
  <Paragraphs>46</Paragraphs>
  <CharactersWithSpaces>1300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昂昵德诺敏</cp:lastModifiedBy>
  <cp:revision>2</cp:revision>
  <cp:lastPrinted>2025-12-04T03:02:14Z</cp:lastPrinted>
  <dcterms:created xsi:type="dcterms:W3CDTF">2025-05-16T10:09:00Z</dcterms:created>
  <dcterms:modified xsi:type="dcterms:W3CDTF">2026-09-03T07:28:31Z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